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B74" w:rsidRPr="00BA6B74" w:rsidRDefault="00BA6B74" w:rsidP="00BA6B74">
      <w:pPr>
        <w:ind w:firstLineChars="200" w:firstLine="723"/>
        <w:rPr>
          <w:rFonts w:ascii="仿宋" w:eastAsia="仿宋" w:hAnsi="仿宋" w:hint="eastAsia"/>
          <w:b/>
          <w:sz w:val="36"/>
          <w:szCs w:val="36"/>
        </w:rPr>
      </w:pPr>
      <w:r w:rsidRPr="00BA6B74">
        <w:rPr>
          <w:rFonts w:ascii="仿宋" w:eastAsia="仿宋" w:hAnsi="仿宋" w:hint="eastAsia"/>
          <w:b/>
          <w:sz w:val="36"/>
          <w:szCs w:val="36"/>
        </w:rPr>
        <w:t>一、2019年县本级一般公共预算支出变动说明</w:t>
      </w:r>
    </w:p>
    <w:p w:rsidR="00C60111" w:rsidRDefault="00C60111" w:rsidP="00BA6B74">
      <w:pPr>
        <w:ind w:firstLineChars="200" w:firstLine="640"/>
        <w:rPr>
          <w:rFonts w:ascii="仿宋" w:eastAsia="仿宋" w:hAnsi="仿宋"/>
          <w:sz w:val="32"/>
        </w:rPr>
      </w:pPr>
      <w:r w:rsidRPr="00C60111">
        <w:rPr>
          <w:rFonts w:ascii="仿宋" w:eastAsia="仿宋" w:hAnsi="仿宋" w:hint="eastAsia"/>
          <w:sz w:val="32"/>
        </w:rPr>
        <w:t>1.宗教事务</w:t>
      </w:r>
      <w:r>
        <w:rPr>
          <w:rFonts w:ascii="仿宋" w:eastAsia="仿宋" w:hAnsi="仿宋" w:hint="eastAsia"/>
          <w:sz w:val="32"/>
        </w:rPr>
        <w:t>款</w:t>
      </w:r>
      <w:r w:rsidRPr="00C60111">
        <w:rPr>
          <w:rFonts w:ascii="仿宋" w:eastAsia="仿宋" w:hAnsi="仿宋" w:hint="eastAsia"/>
          <w:sz w:val="32"/>
        </w:rPr>
        <w:t>比</w:t>
      </w:r>
      <w:r>
        <w:rPr>
          <w:rFonts w:ascii="仿宋" w:eastAsia="仿宋" w:hAnsi="仿宋" w:hint="eastAsia"/>
          <w:sz w:val="32"/>
        </w:rPr>
        <w:t>2018年决算数下降100%，主要原因是：2019年以来宗教事务科目并入统战事务核算，属于科目记账调整，不影响一般公共预算支出总额。</w:t>
      </w:r>
    </w:p>
    <w:p w:rsidR="00C60111" w:rsidRDefault="00C60111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2.宣传事务款比2018年决算数大幅下降，降幅达50.8%，主要原因是：2019年以来报刊杂志费减少。</w:t>
      </w:r>
    </w:p>
    <w:p w:rsidR="00C60111" w:rsidRDefault="00C60111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3.统战事务款比2018年决算数增长</w:t>
      </w:r>
      <w:r w:rsidR="00E85517">
        <w:rPr>
          <w:rFonts w:ascii="仿宋" w:eastAsia="仿宋" w:hAnsi="仿宋" w:hint="eastAsia"/>
          <w:sz w:val="32"/>
        </w:rPr>
        <w:t>58.43%，主要原因是：2019年以来宗教事务科目并入统战事务核算，属于科目记账调整，不影响一般公共预算支出总额。</w:t>
      </w:r>
    </w:p>
    <w:p w:rsidR="00E85517" w:rsidRDefault="00E85517" w:rsidP="00E85517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4.市场监督管理事务款比2018年决算数增长48.35%，主要原因是：2019年以来“工商行政管理事务”、“质量技术监督与检验检疫事务”、“食品和药品监督管理事务”科目及其项级科目并入市场监督管理事务款核算，属于科目记账调整，不影响一般公共预算支出总额。</w:t>
      </w:r>
    </w:p>
    <w:p w:rsidR="00E85517" w:rsidRDefault="00E85517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5.国防动员款比2018年决算数增长113.33%，主要原因是：以前年度缓拨专款以本级财力安排拨付，以及县级财政加大了国防动员的保障力度。</w:t>
      </w:r>
    </w:p>
    <w:p w:rsidR="00E85517" w:rsidRDefault="00E85517" w:rsidP="00E85517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6.武装警察款比2018年决算数减少97.33%，主要原因是：消防事务科目调整至灾害防治及应急管理支出核算，属于科目记账调整，不影响一般公共预算支出总额。</w:t>
      </w:r>
    </w:p>
    <w:p w:rsidR="00E85517" w:rsidRDefault="00E85517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7.法院款比2018年决算数减少50%，主要原因是：2018年法院处于上划过渡期，人民陪审员、书记员经费追加预算，</w:t>
      </w:r>
      <w:r>
        <w:rPr>
          <w:rFonts w:ascii="仿宋" w:eastAsia="仿宋" w:hAnsi="仿宋" w:hint="eastAsia"/>
          <w:sz w:val="32"/>
        </w:rPr>
        <w:lastRenderedPageBreak/>
        <w:t>追加</w:t>
      </w:r>
      <w:r w:rsidR="00CC3493">
        <w:rPr>
          <w:rFonts w:ascii="仿宋" w:eastAsia="仿宋" w:hAnsi="仿宋" w:hint="eastAsia"/>
          <w:sz w:val="32"/>
        </w:rPr>
        <w:t>预算解决</w:t>
      </w:r>
      <w:r>
        <w:rPr>
          <w:rFonts w:ascii="仿宋" w:eastAsia="仿宋" w:hAnsi="仿宋" w:hint="eastAsia"/>
          <w:sz w:val="32"/>
        </w:rPr>
        <w:t>执行难经费。</w:t>
      </w:r>
    </w:p>
    <w:p w:rsidR="00CC3493" w:rsidRDefault="00CC3493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8.其他公共安全款比2018年决算数增加366.67%，主要原因是：上级加大了对此款项的补助力度。</w:t>
      </w:r>
    </w:p>
    <w:p w:rsidR="00CC3493" w:rsidRDefault="00CC3493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9.特殊教育款比2018年决算数增加43.9%，主要原因是：特殊教育政策支持，上级补助收入增加。</w:t>
      </w:r>
    </w:p>
    <w:p w:rsidR="00CC3493" w:rsidRDefault="00CC3493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10.教育费附加款比2018年决算数增加506.38%，主要原因是： 2018年实际支出额为685.19万元，2018年支出不足数额在2019年支出，2019年除本年支出1000万元以外，补支2017年22万元及2018年1269.42万元款项。</w:t>
      </w:r>
    </w:p>
    <w:p w:rsidR="00CC3493" w:rsidRDefault="00CC3493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11.其他教育支出款比2018年决算数增加1322.22%，主要原因是：部门根据预算管理要求，进一步细化和明确了列支科目，根据上级文件科目要求，增加了此科目的列支。</w:t>
      </w:r>
    </w:p>
    <w:p w:rsidR="00CC3493" w:rsidRDefault="00CC3493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12.</w:t>
      </w:r>
      <w:r w:rsidR="007A3200">
        <w:rPr>
          <w:rFonts w:ascii="仿宋" w:eastAsia="仿宋" w:hAnsi="仿宋" w:hint="eastAsia"/>
          <w:sz w:val="32"/>
        </w:rPr>
        <w:t>新闻出版广播影视款比2018年决算数减少88.22%，主要原因是:自2019年4月起划转至县宣传部，所有支出均在宣传部统一核算，该款项科目下仅为1-3月的支出。</w:t>
      </w:r>
    </w:p>
    <w:p w:rsidR="0006335C" w:rsidRDefault="0006335C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13.其他文化体育与传媒支出款比2018年决算数减少82.15%，主要原因是:</w:t>
      </w:r>
      <w:r w:rsidR="004F5E21" w:rsidRPr="004F5E21">
        <w:rPr>
          <w:rFonts w:ascii="仿宋" w:eastAsia="仿宋" w:hAnsi="仿宋" w:hint="eastAsia"/>
          <w:sz w:val="32"/>
        </w:rPr>
        <w:t xml:space="preserve"> </w:t>
      </w:r>
      <w:r w:rsidR="004F5E21">
        <w:rPr>
          <w:rFonts w:ascii="仿宋" w:eastAsia="仿宋" w:hAnsi="仿宋" w:hint="eastAsia"/>
          <w:sz w:val="32"/>
        </w:rPr>
        <w:t>部门根据预算管理要求，进一步细化和明确了列支科目，减少了其他科目的列支。</w:t>
      </w:r>
    </w:p>
    <w:p w:rsidR="0006335C" w:rsidRDefault="0006335C" w:rsidP="0006335C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14.食品和药品监督管理事务款比2018年决算数减少100%，主要原因是:科目调整至市场监督管理事务款支出核算，属于科目记账调整，不影响一般公共预算支出总额。</w:t>
      </w:r>
    </w:p>
    <w:p w:rsidR="0006335C" w:rsidRDefault="0006335C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15.农村综合开发款比2018年决算数减少81.31%，主要</w:t>
      </w:r>
      <w:r>
        <w:rPr>
          <w:rFonts w:ascii="仿宋" w:eastAsia="仿宋" w:hAnsi="仿宋" w:hint="eastAsia"/>
          <w:sz w:val="32"/>
        </w:rPr>
        <w:lastRenderedPageBreak/>
        <w:t>原因是:2019年支出数额</w:t>
      </w:r>
      <w:r w:rsidR="00435912">
        <w:rPr>
          <w:rFonts w:ascii="仿宋" w:eastAsia="仿宋" w:hAnsi="仿宋" w:hint="eastAsia"/>
          <w:sz w:val="32"/>
        </w:rPr>
        <w:t>仅</w:t>
      </w:r>
      <w:r>
        <w:rPr>
          <w:rFonts w:ascii="仿宋" w:eastAsia="仿宋" w:hAnsi="仿宋" w:hint="eastAsia"/>
          <w:sz w:val="32"/>
        </w:rPr>
        <w:t>用于解决2017年项目资金，2018年资金调度及补助较为顺畅。</w:t>
      </w:r>
    </w:p>
    <w:p w:rsidR="0006335C" w:rsidRDefault="0006335C" w:rsidP="00C60111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16.农村综合改革款比2018年决算数减少81.31%，主要原因是:2018年及以前，上级专款补助较多，2019年涉农整合后，专项资金减少，均为扶贫资金安排。</w:t>
      </w:r>
    </w:p>
    <w:p w:rsidR="00344A92" w:rsidRDefault="00344A92" w:rsidP="00C60111">
      <w:pPr>
        <w:ind w:firstLineChars="200"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17.其他生活救助款比2018年决算数减少81.31%，主要原因是:自2019年起，均为按月拨付。</w:t>
      </w:r>
    </w:p>
    <w:p w:rsidR="00BA6B74" w:rsidRDefault="00BA6B74" w:rsidP="00BA6B74">
      <w:pPr>
        <w:ind w:firstLineChars="200" w:firstLine="640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sz w:val="32"/>
        </w:rPr>
        <w:t>二、</w:t>
      </w:r>
      <w:r w:rsidRPr="00BA6B74">
        <w:rPr>
          <w:rFonts w:ascii="仿宋" w:eastAsia="仿宋" w:hAnsi="仿宋" w:hint="eastAsia"/>
          <w:b/>
          <w:sz w:val="36"/>
          <w:szCs w:val="36"/>
        </w:rPr>
        <w:t>2019年县本级</w:t>
      </w:r>
      <w:r>
        <w:rPr>
          <w:rFonts w:ascii="仿宋" w:eastAsia="仿宋" w:hAnsi="仿宋" w:hint="eastAsia"/>
          <w:b/>
          <w:sz w:val="36"/>
          <w:szCs w:val="36"/>
        </w:rPr>
        <w:t>政府性基金</w:t>
      </w:r>
      <w:r w:rsidRPr="00BA6B74">
        <w:rPr>
          <w:rFonts w:ascii="仿宋" w:eastAsia="仿宋" w:hAnsi="仿宋" w:hint="eastAsia"/>
          <w:b/>
          <w:sz w:val="36"/>
          <w:szCs w:val="36"/>
        </w:rPr>
        <w:t>预算支出变动说明</w:t>
      </w:r>
    </w:p>
    <w:p w:rsidR="0077446D" w:rsidRDefault="0077446D" w:rsidP="0077446D">
      <w:pPr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1.旅游发展基金支出比2018年决算数增长250%，主要原因是：2018年项目工程仍属于在建工程，尚未形成支出。2019年项目竣工，拨付项目款，支付额度大幅上升。</w:t>
      </w:r>
    </w:p>
    <w:p w:rsidR="0077446D" w:rsidRPr="0077446D" w:rsidRDefault="0077446D" w:rsidP="0077446D">
      <w:pPr>
        <w:ind w:firstLineChars="200"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2.彩票公益金安排的支出比2018年决算数增长415.52%，主要原因是：2019年村级老年活动室及少年宫建设项目推进，资金配套支出大幅增加。</w:t>
      </w:r>
    </w:p>
    <w:p w:rsidR="00BA6B74" w:rsidRDefault="00BA6B74" w:rsidP="00BA6B74">
      <w:pPr>
        <w:ind w:firstLineChars="200" w:firstLine="640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sz w:val="32"/>
        </w:rPr>
        <w:t>三、</w:t>
      </w:r>
      <w:r w:rsidRPr="00BA6B74">
        <w:rPr>
          <w:rFonts w:ascii="仿宋" w:eastAsia="仿宋" w:hAnsi="仿宋" w:hint="eastAsia"/>
          <w:b/>
          <w:sz w:val="36"/>
          <w:szCs w:val="36"/>
        </w:rPr>
        <w:t>2019年</w:t>
      </w:r>
      <w:r>
        <w:rPr>
          <w:rFonts w:ascii="仿宋" w:eastAsia="仿宋" w:hAnsi="仿宋" w:hint="eastAsia"/>
          <w:b/>
          <w:sz w:val="36"/>
          <w:szCs w:val="36"/>
        </w:rPr>
        <w:t>县</w:t>
      </w:r>
      <w:r w:rsidRPr="00BA6B74">
        <w:rPr>
          <w:rFonts w:ascii="仿宋" w:eastAsia="仿宋" w:hAnsi="仿宋" w:hint="eastAsia"/>
          <w:b/>
          <w:sz w:val="36"/>
          <w:szCs w:val="36"/>
        </w:rPr>
        <w:t>本级国有资本经营预算收入、支出变动说明</w:t>
      </w:r>
    </w:p>
    <w:p w:rsidR="00427FD3" w:rsidRPr="00BA6B74" w:rsidRDefault="00427FD3" w:rsidP="00427FD3">
      <w:pPr>
        <w:ind w:firstLineChars="200" w:firstLine="640"/>
        <w:rPr>
          <w:rFonts w:ascii="仿宋" w:eastAsia="仿宋" w:hAnsi="仿宋"/>
          <w:b/>
          <w:sz w:val="36"/>
          <w:szCs w:val="36"/>
        </w:rPr>
      </w:pPr>
      <w:r w:rsidRPr="0001408D">
        <w:rPr>
          <w:rFonts w:ascii="仿宋" w:eastAsia="仿宋" w:hAnsi="仿宋" w:cs="宋体" w:hint="eastAsia"/>
          <w:bCs/>
          <w:kern w:val="0"/>
          <w:sz w:val="32"/>
          <w:szCs w:val="32"/>
        </w:rPr>
        <w:t>2019 年国有资本经营预算上级补助收入72万元,</w:t>
      </w:r>
      <w:r w:rsidRPr="00427FD3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543F0C">
        <w:rPr>
          <w:rFonts w:ascii="仿宋" w:eastAsia="仿宋" w:hAnsi="仿宋" w:cs="仿宋_GB2312" w:hint="eastAsia"/>
          <w:sz w:val="32"/>
          <w:szCs w:val="32"/>
        </w:rPr>
        <w:t>由于师宗县县属国有企业较少，且经营创利能力不强，暂未形成国有资本经营收益，故</w:t>
      </w:r>
      <w:r>
        <w:rPr>
          <w:rFonts w:ascii="仿宋" w:eastAsia="仿宋" w:hAnsi="仿宋" w:cs="仿宋_GB2312" w:hint="eastAsia"/>
          <w:sz w:val="32"/>
          <w:szCs w:val="32"/>
        </w:rPr>
        <w:t>县</w:t>
      </w:r>
      <w:r w:rsidRPr="00543F0C">
        <w:rPr>
          <w:rFonts w:ascii="仿宋" w:eastAsia="仿宋" w:hAnsi="仿宋" w:cs="仿宋_GB2312" w:hint="eastAsia"/>
          <w:sz w:val="32"/>
          <w:szCs w:val="32"/>
        </w:rPr>
        <w:t>本级</w:t>
      </w:r>
      <w:r>
        <w:rPr>
          <w:rFonts w:ascii="仿宋" w:eastAsia="仿宋" w:hAnsi="仿宋" w:cs="仿宋_GB2312" w:hint="eastAsia"/>
          <w:sz w:val="32"/>
          <w:szCs w:val="32"/>
        </w:rPr>
        <w:t>没有</w:t>
      </w:r>
      <w:r w:rsidRPr="00543F0C">
        <w:rPr>
          <w:rFonts w:ascii="仿宋" w:eastAsia="仿宋" w:hAnsi="仿宋" w:cs="仿宋_GB2312" w:hint="eastAsia"/>
          <w:sz w:val="32"/>
          <w:szCs w:val="32"/>
        </w:rPr>
        <w:t>国有资本经营预算</w:t>
      </w:r>
      <w:r>
        <w:rPr>
          <w:rFonts w:ascii="仿宋" w:eastAsia="仿宋" w:hAnsi="仿宋" w:cs="仿宋_GB2312" w:hint="eastAsia"/>
          <w:sz w:val="32"/>
          <w:szCs w:val="32"/>
        </w:rPr>
        <w:t>收入。</w:t>
      </w:r>
    </w:p>
    <w:p w:rsidR="00427FD3" w:rsidRPr="00BA6B74" w:rsidRDefault="0016306E" w:rsidP="00427FD3">
      <w:pPr>
        <w:ind w:firstLineChars="200" w:firstLine="640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2019年</w:t>
      </w:r>
      <w:r w:rsidR="00427FD3" w:rsidRPr="0001408D">
        <w:rPr>
          <w:rFonts w:ascii="仿宋" w:eastAsia="仿宋" w:hAnsi="仿宋" w:cs="宋体" w:hint="eastAsia"/>
          <w:bCs/>
          <w:kern w:val="0"/>
          <w:sz w:val="32"/>
          <w:szCs w:val="32"/>
        </w:rPr>
        <w:t>国有资本经营预算支出72万元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，2018年师宗县国有资本经营预算收支均为0万元，所以收支都增长了100%。</w:t>
      </w:r>
    </w:p>
    <w:sectPr w:rsidR="00427FD3" w:rsidRPr="00BA6B74" w:rsidSect="00D56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40DE" w:rsidRDefault="000640DE" w:rsidP="00C60111">
      <w:r>
        <w:separator/>
      </w:r>
    </w:p>
  </w:endnote>
  <w:endnote w:type="continuationSeparator" w:id="1">
    <w:p w:rsidR="000640DE" w:rsidRDefault="000640DE" w:rsidP="00C601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40DE" w:rsidRDefault="000640DE" w:rsidP="00C60111">
      <w:r>
        <w:separator/>
      </w:r>
    </w:p>
  </w:footnote>
  <w:footnote w:type="continuationSeparator" w:id="1">
    <w:p w:rsidR="000640DE" w:rsidRDefault="000640DE" w:rsidP="00C601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0111"/>
    <w:rsid w:val="0006335C"/>
    <w:rsid w:val="000640DE"/>
    <w:rsid w:val="0016306E"/>
    <w:rsid w:val="00260F5D"/>
    <w:rsid w:val="00344A92"/>
    <w:rsid w:val="00407DC3"/>
    <w:rsid w:val="00427FD3"/>
    <w:rsid w:val="00435912"/>
    <w:rsid w:val="004F5E21"/>
    <w:rsid w:val="00631574"/>
    <w:rsid w:val="0077446D"/>
    <w:rsid w:val="007A3200"/>
    <w:rsid w:val="009F13C5"/>
    <w:rsid w:val="00BA6B74"/>
    <w:rsid w:val="00BB493E"/>
    <w:rsid w:val="00C60111"/>
    <w:rsid w:val="00CC3493"/>
    <w:rsid w:val="00D56B67"/>
    <w:rsid w:val="00D922E9"/>
    <w:rsid w:val="00E85517"/>
    <w:rsid w:val="00F66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F5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601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60F5D"/>
    <w:pPr>
      <w:widowControl w:val="0"/>
      <w:jc w:val="both"/>
    </w:pPr>
    <w:rPr>
      <w:kern w:val="2"/>
      <w:sz w:val="21"/>
    </w:rPr>
  </w:style>
  <w:style w:type="paragraph" w:styleId="a4">
    <w:name w:val="header"/>
    <w:basedOn w:val="a"/>
    <w:link w:val="Char"/>
    <w:uiPriority w:val="99"/>
    <w:semiHidden/>
    <w:unhideWhenUsed/>
    <w:rsid w:val="00C60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6011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60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60111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C6011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249</Words>
  <Characters>1422</Characters>
  <Application>Microsoft Office Word</Application>
  <DocSecurity>0</DocSecurity>
  <Lines>11</Lines>
  <Paragraphs>3</Paragraphs>
  <ScaleCrop>false</ScaleCrop>
  <Company>Microsoft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12</cp:revision>
  <dcterms:created xsi:type="dcterms:W3CDTF">2020-09-10T09:04:00Z</dcterms:created>
  <dcterms:modified xsi:type="dcterms:W3CDTF">2020-09-11T03:01:00Z</dcterms:modified>
</cp:coreProperties>
</file>