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440"/>
        <w:jc w:val="center"/>
      </w:pP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师宗县本级201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lang w:val="en-US" w:eastAsia="zh-CN"/>
        </w:rPr>
        <w:t>9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年“三公”经费决算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lang w:eastAsia="zh-CN"/>
        </w:rPr>
        <w:t>　　　　　　　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</w:rPr>
        <w:t>情况说明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00"/>
        <w:jc w:val="both"/>
      </w:pPr>
      <w:r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根据国务院关于推进政府预算信息公开的决策部署和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师宗县政府工作安排，经师宗县财政局汇总，师宗县人民政府审定，现将师宗县部门（包括全县行政单位、事业单位以及其他使用一般公共预算财政拨款安排</w:t>
      </w:r>
      <w:r>
        <w:rPr>
          <w:rFonts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“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三公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”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经费单位）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201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年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“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三公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”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经费决算情况公开如下：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00"/>
        <w:jc w:val="both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201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年师宗县县区（本级）一般公共预算财政拨款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“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三公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”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经费支出决算汇总数为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1003.29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万元，较上年减少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323.23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万元，下降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24.37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。其中：因公出国（境）费为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万元，较上年减少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6.07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万元，下降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100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，共计安排因公出国（境）团组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个，因公出国（境）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人次。公务接待费为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370.31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万元，较上年减少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88.27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万元，下降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19.25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，国内公务接待批次为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4360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次，较上年减少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1760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次，减少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28.76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，接待人次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5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0288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次，较上年减少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2736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人次，减少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0.05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。公务用车购置及运行维护费为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632.99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万元，较上年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 xml:space="preserve">减少 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228.88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下降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26.56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（其中：公务用车购置费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万元，与上年持平；公务用车运行维护费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632.99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万元，较上年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减少228.89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下降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26.56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。共计购置公务用车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辆，年末公务用车保有量为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362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辆。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00"/>
        <w:jc w:val="both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“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三公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”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经费增减变化原因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因公出国（境）费为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万元，较上年减少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6.07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万元，下降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100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，共计安排因公出国（境）团组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个，因公出国（境）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人次。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公务接待费为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370.31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万元，较上年减少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88.27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万元，下降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19.25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，国内公务接待批次为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4360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次，较上年国内公务接待批次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6120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次减少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1760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次，减少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28.76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，接待人次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50288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次，较上年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53024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人次减少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2736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人次，减少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0.05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。本年接待费大幅减少的原因有：一是我县各部门严格执行《师宗县党政机关公务接待管理办法》、《师宗县行政事业单位差旅费管理办法》《师宗县党政机关公务用车厉行节约实施办法》三个暂行办法，严格执行审批程序进行接待，严格控制接待标准；二是部分单位本年挂账接待没有结清，导致本年接待费没有在本年支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公务用车购置及运行维护费为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632.99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万元，较上年增加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228.89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万元，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eastAsia="zh-CN"/>
        </w:rPr>
        <w:t>下降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26.56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%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eastAsia="zh-CN"/>
        </w:rPr>
        <w:t>下降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主要原因是我县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严格执行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《师宗县党政机关公务用车厉行节约实施办法》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eastAsia="zh-CN"/>
        </w:rPr>
        <w:t>，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相应公车燃料费及运行维护费损耗较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小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00"/>
        <w:jc w:val="both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附件1：师宗县县区（本级）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201</w:t>
      </w:r>
      <w:r>
        <w:rPr>
          <w:rFonts w:hint="eastAsia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年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“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三公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”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经费决算数对比情况表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附件2：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“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三公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</w:rPr>
        <w:t>”</w:t>
      </w: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经费口径说明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 w:firstLine="600"/>
        <w:jc w:val="both"/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 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t>附件1：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  师宗县本级201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9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年“三公”经费决算数对比情况表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                          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         单位：万元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8"/>
        <w:gridCol w:w="1491"/>
        <w:gridCol w:w="1491"/>
        <w:gridCol w:w="1619"/>
        <w:gridCol w:w="15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项  目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上年决算数</w:t>
            </w:r>
          </w:p>
        </w:tc>
        <w:tc>
          <w:tcPr>
            <w:tcW w:w="1491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本年决算数</w:t>
            </w:r>
          </w:p>
        </w:tc>
        <w:tc>
          <w:tcPr>
            <w:tcW w:w="321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较上年增减情况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增、减额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增、减幅度(%)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合  计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1326.51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1003.29</w:t>
            </w:r>
          </w:p>
        </w:tc>
        <w:tc>
          <w:tcPr>
            <w:tcW w:w="16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323.23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24.73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  1、因公出国（境）费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6.07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0</w:t>
            </w:r>
          </w:p>
        </w:tc>
        <w:tc>
          <w:tcPr>
            <w:tcW w:w="16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6.07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  2、公务接待费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458.58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370.31</w:t>
            </w:r>
          </w:p>
        </w:tc>
        <w:tc>
          <w:tcPr>
            <w:tcW w:w="16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88.27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19.25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  3、公务用车费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861.88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632.99</w:t>
            </w:r>
          </w:p>
        </w:tc>
        <w:tc>
          <w:tcPr>
            <w:tcW w:w="16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228.89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26.56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  其中：（1）公务用车购置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0.00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0.00</w:t>
            </w:r>
          </w:p>
        </w:tc>
        <w:tc>
          <w:tcPr>
            <w:tcW w:w="16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0.00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6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（2）公务用车运行维护费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861.88</w:t>
            </w:r>
          </w:p>
        </w:tc>
        <w:tc>
          <w:tcPr>
            <w:tcW w:w="1491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632.99</w:t>
            </w:r>
          </w:p>
        </w:tc>
        <w:tc>
          <w:tcPr>
            <w:tcW w:w="16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228.89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8"/>
                <w:szCs w:val="28"/>
                <w:u w:val="none"/>
              </w:rPr>
              <w:t>-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26.56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仿宋_GB2312" w:hAnsi="仿宋_GB2312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附件2：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            “三公”经费口径说明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按照党中央、国务院有关文件及部门预算管理有关规定，</w:t>
      </w:r>
      <w:r>
        <w:rPr>
          <w:rFonts w:ascii="Calibri" w:hAnsi="Calibri" w:eastAsia="Calibri" w:cs="Calibri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“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三公</w:t>
      </w:r>
      <w:r>
        <w:rPr>
          <w:rFonts w:hint="default" w:ascii="Calibri" w:hAnsi="Calibri" w:eastAsia="Calibri" w:cs="Calibri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”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经费包括因公出国（境）费、公务用车购置及运行维护费和公务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接待费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1、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14"/>
          <w:szCs w:val="14"/>
          <w:shd w:val="clear" w:color="auto" w:fill="FFFFFF"/>
        </w:rPr>
        <w:t>   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因公出国（境）费，指单位公务出国（境）的国际旅费、国外城市间交通费、住宿费、伙食费、培训费、公杂费等支出。 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2、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14"/>
          <w:szCs w:val="14"/>
          <w:shd w:val="clear" w:color="auto" w:fill="FFFFFF"/>
        </w:rPr>
        <w:t>   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公务用车购置费，指公务用车购置支出（含车辆购置税、拍照费）；公务用车运行维护费，指单位按规定保留的公务用车燃料费、维修费、过路过桥费、保险费、安全奖励费用等支出。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3、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14"/>
          <w:szCs w:val="14"/>
          <w:shd w:val="clear" w:color="auto" w:fill="FFFFFF"/>
        </w:rPr>
        <w:t>      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公务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  <w:lang w:eastAsia="zh-CN"/>
        </w:rPr>
        <w:t>接待费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，指单位按规定开支的各类公务接待（含外宾接待）费用。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00"/>
        <w:jc w:val="both"/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2、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14"/>
          <w:szCs w:val="14"/>
          <w:shd w:val="clear" w:color="auto" w:fill="FFFFFF"/>
        </w:rPr>
        <w:t>      </w:t>
      </w:r>
      <w:r>
        <w:rPr>
          <w:rFonts w:hint="default" w:ascii="Calibri" w:hAnsi="Calibri" w:eastAsia="Calibri" w:cs="Calibri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“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三公</w:t>
      </w:r>
      <w:r>
        <w:rPr>
          <w:rFonts w:hint="default" w:ascii="Calibri" w:hAnsi="Calibri" w:eastAsia="Calibri" w:cs="Calibri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”</w:t>
      </w: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0"/>
          <w:szCs w:val="30"/>
          <w:shd w:val="clear" w:color="auto" w:fill="FFFFFF"/>
        </w:rPr>
        <w:t>经费决算数：指各级各部门（含下属单位）用一般公共预算财政拨款（含上年结转结余和当年预算）安排的因公出国（境）费、公务用车购置及运行维护费和公务接待费支出数。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6"/>
          <w:sz w:val="32"/>
          <w:szCs w:val="32"/>
          <w:shd w:val="clear" w:color="auto" w:fill="FFFFFF"/>
        </w:rPr>
        <w:t>  </w:t>
      </w: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6"/>
          <w:sz w:val="32"/>
          <w:szCs w:val="32"/>
          <w:shd w:val="clear" w:color="auto" w:fill="FFFFFF"/>
        </w:rPr>
        <w:t> 三、使用县本级财政拨款安排“三公”经费的预算部门均纳入统计范围。师宗县县本级各部门“三公”经费，由各部门与部门决算一并公开。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Calibri" w:hAnsi="Calibri" w:eastAsia="Calibri" w:cs="Calibri"/>
          <w:i w:val="0"/>
          <w:caps w:val="0"/>
          <w:color w:val="000000"/>
          <w:spacing w:val="0"/>
          <w:sz w:val="21"/>
          <w:szCs w:val="21"/>
        </w:rPr>
        <w:t> 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GJiMzk3NmE4MTFmY2I0NmVkOTVhODY4OTk3OTcifQ=="/>
    <w:docVar w:name="KSO_WPS_MARK_KEY" w:val="c0c0a3e4-29d9-4ffb-8090-317f02ca55bf"/>
  </w:docVars>
  <w:rsids>
    <w:rsidRoot w:val="3130366D"/>
    <w:rsid w:val="01512048"/>
    <w:rsid w:val="04801BEC"/>
    <w:rsid w:val="056843A5"/>
    <w:rsid w:val="1EB170C3"/>
    <w:rsid w:val="2DCA5D78"/>
    <w:rsid w:val="3130366D"/>
    <w:rsid w:val="417564F3"/>
    <w:rsid w:val="52F02C7F"/>
    <w:rsid w:val="57BE1B45"/>
    <w:rsid w:val="624702EA"/>
    <w:rsid w:val="79FA7A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Office_11.1.0.14235_F1E327BC-269C-435d-A152-05C5408002CA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2020-09-09T03:15:00Z</dcterms:created>
  <dc:creator>Administrator</dc:creator>
  <cp:lastModifiedBy>郑若愚</cp:lastModifiedBy>
  <cp:lastPrinted>2020-09-14T07:58:00Z</cp:lastPrinted>
  <dcterms:modified xsi:type="dcterms:W3CDTF">2025-01-09T03:05:15Z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2052-11.1.0.14235</vt:lpwstr>
  </property>
  <property fmtid="{D5CDD505-2E9C-101B-9397-08002B2CF9AE}" pid="3" name="ICV">
    <vt:lpwstr>9C6723F6BA824668A70549E4A722C38E_12</vt:lpwstr>
  </property>
</Properties>
</file>